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7F5EB" w14:textId="77777777" w:rsidR="00BC2641" w:rsidRPr="00AF7C9F" w:rsidRDefault="001D5645">
      <w:pPr>
        <w:spacing w:line="480" w:lineRule="exact"/>
        <w:jc w:val="left"/>
        <w:rPr>
          <w:rFonts w:ascii="方正仿宋_GBK" w:eastAsia="方正仿宋_GBK" w:hAnsi="方正仿宋_GBK" w:cs="方正仿宋_GBK"/>
          <w:b/>
          <w:sz w:val="28"/>
          <w:szCs w:val="28"/>
        </w:rPr>
      </w:pPr>
      <w:r w:rsidRPr="00AF7C9F">
        <w:rPr>
          <w:rFonts w:ascii="方正仿宋_GBK" w:eastAsia="方正仿宋_GBK" w:hAnsi="方正仿宋_GBK" w:cs="方正仿宋_GBK" w:hint="eastAsia"/>
          <w:b/>
          <w:sz w:val="28"/>
          <w:szCs w:val="28"/>
        </w:rPr>
        <w:t>附件1：</w:t>
      </w:r>
      <w:bookmarkStart w:id="0" w:name="_GoBack"/>
      <w:bookmarkEnd w:id="0"/>
    </w:p>
    <w:p w14:paraId="4A5C4746" w14:textId="77777777" w:rsidR="00BC2641" w:rsidRDefault="001D5645" w:rsidP="001D5645">
      <w:pPr>
        <w:spacing w:afterLines="100" w:after="312" w:line="480" w:lineRule="exact"/>
        <w:jc w:val="center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美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境行动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活动细则</w:t>
      </w:r>
    </w:p>
    <w:p w14:paraId="54378870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一、活动意义</w:t>
      </w:r>
    </w:p>
    <w:p w14:paraId="021A4195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美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境行动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旨在引导青少年将生态环境保护理念贯穿于日常学习与生活，鼓励他们学习环境科学知识，并将其应用到观察自然、改善环境的实践中，提高研究能力、解决实际问题的能力，助力青少年成长为美丽中国建设的参与者和贡献者。</w:t>
      </w:r>
    </w:p>
    <w:p w14:paraId="7DC16667" w14:textId="77777777" w:rsidR="00BC2641" w:rsidRDefault="001D5645">
      <w:pPr>
        <w:spacing w:line="48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二、参加对象</w:t>
      </w:r>
    </w:p>
    <w:p w14:paraId="70B7B7CD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全省范围内大中小学（包括中专、职校）学生和幼儿园师生。</w:t>
      </w:r>
    </w:p>
    <w:p w14:paraId="3AC56E2A" w14:textId="77777777" w:rsidR="00BC2641" w:rsidRDefault="001D5645">
      <w:pPr>
        <w:spacing w:line="48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三、活动主题</w:t>
      </w:r>
    </w:p>
    <w:p w14:paraId="12BAF23E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以大中小学生和幼儿园师生的知识水平和生活经验为基础，依托身边的人、事、家庭、学校、社区等要素，联系大气、水体、土壤、生物多样性、低碳生活、气候变化、海洋环境保护、美丽乡村建设、禁塑限塑等相关议题，提出例如科普文章、环保故事、发明创新、环境调查等可实施和可操作的方案，最终实施并促进校园或周边环境质量的改善。</w:t>
      </w:r>
    </w:p>
    <w:p w14:paraId="76647ED6" w14:textId="77777777" w:rsidR="00BC2641" w:rsidRDefault="001D5645">
      <w:pPr>
        <w:spacing w:line="48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四、活动计划</w:t>
      </w:r>
    </w:p>
    <w:p w14:paraId="682CAC93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（一）作品递交：《设计方案》、《实施报告》和《师生“说”美境》及相关资料，于</w:t>
      </w:r>
      <w:r>
        <w:rPr>
          <w:rFonts w:ascii="Times New Roman" w:eastAsia="方正仿宋_GBK" w:hAnsi="Times New Roman" w:cs="Times New Roman"/>
          <w:sz w:val="28"/>
          <w:szCs w:val="28"/>
        </w:rPr>
        <w:t>2025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日前发送到指定邮箱：</w:t>
      </w:r>
      <w:r>
        <w:rPr>
          <w:rFonts w:ascii="Times New Roman" w:eastAsia="方正仿宋_GBK" w:hAnsi="Times New Roman" w:cs="Times New Roman"/>
          <w:sz w:val="28"/>
          <w:szCs w:val="28"/>
        </w:rPr>
        <w:t>mj@jshj.org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。邮件标题格式为【设计方案或实施报告或师生“说”美境】+城市+单位。</w:t>
      </w:r>
    </w:p>
    <w:p w14:paraId="3A72DF9E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（二）互动交流：活动开展期间，主办方组织环保志愿服务团队和专家开展活动，创造更多机会让新参与者和历届参与者之间的交流。</w:t>
      </w:r>
    </w:p>
    <w:p w14:paraId="5F7AE586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（三）成果推荐：优秀的《设计方案》、《实施报告》和《师生“说”美境》作品在展示交流与总结的基础上，按《</w:t>
      </w:r>
      <w:r>
        <w:rPr>
          <w:rFonts w:ascii="Times New Roman" w:eastAsia="方正仿宋_GBK" w:hAnsi="Times New Roman" w:cs="Times New Roman"/>
          <w:sz w:val="28"/>
          <w:szCs w:val="28"/>
        </w:rPr>
        <w:t>2025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年青少年生态环境创新活动"美境行动"的通知》要求由江苏片区统一推荐至生态环境部宣教中心参加评优。</w:t>
      </w:r>
    </w:p>
    <w:p w14:paraId="199726D1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（四）宣传报道：在活动开展过程中，江苏环境网、江苏环境科普公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众号等媒体为参与者提供活动宣传推广。</w:t>
      </w:r>
    </w:p>
    <w:p w14:paraId="443ED16B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（五）作品展示交流与总结：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2025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11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月中下旬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14:paraId="1C904FC5" w14:textId="77777777" w:rsidR="00BC2641" w:rsidRDefault="001D5645">
      <w:pPr>
        <w:spacing w:line="480" w:lineRule="exact"/>
        <w:ind w:firstLineChars="200" w:firstLine="56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五、活动要求</w:t>
      </w:r>
    </w:p>
    <w:p w14:paraId="768D5CEB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（一）作品须由学生自主设计实施，教师仅作辅导；幼儿园是由老师自主完成方案设计与实施，学生只是作品创作过程中的参与者。严禁抄袭，侵权后果自负。同一作品的优秀指导教师申报数不超过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人，学生代表不超过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8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人。</w:t>
      </w:r>
    </w:p>
    <w:p w14:paraId="1EA2FAD6" w14:textId="3CE75D9B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（二）设计方案电子文档不超过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页，突出计划性和可操作性。实施报告电子文档不超过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12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页，字数不超过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5000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字，电子文档格式统一为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word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，文档大小不超过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20M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14:paraId="2427EF20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（三）鼓励作品结合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STEM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科学（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Science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）、技术（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Technology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）、工程（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Engineering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）及数学（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Mathematics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）跨学科理念，运用科学方法深入探寻问题根源和解决方案。</w:t>
      </w:r>
    </w:p>
    <w:p w14:paraId="29329B25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（四）主办方拥有对参与作品的复制、展览、宣传、发表、出版（含电子出版）等权利，作者享有署名权。</w:t>
      </w:r>
    </w:p>
    <w:p w14:paraId="564E6214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（五）主办方对本活动保留最终解释权。</w:t>
      </w:r>
    </w:p>
    <w:p w14:paraId="145016AA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六、活动咨询</w:t>
      </w:r>
    </w:p>
    <w:p w14:paraId="4D778D60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（一）在“江苏环境网”和“江苏环境科普”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微信公众号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设有互动交流平台，可随时了解活动动态，环保志愿服务人员和专家可解答师生参与美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境行动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过程中的各种问题。</w:t>
      </w:r>
    </w:p>
    <w:p w14:paraId="711BAB44" w14:textId="77777777" w:rsidR="00BC2641" w:rsidRDefault="001D5645">
      <w:pPr>
        <w:spacing w:line="48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（二）活动联系人：王影</w:t>
      </w:r>
    </w:p>
    <w:p w14:paraId="033CBF6E" w14:textId="77777777" w:rsidR="00BC2641" w:rsidRDefault="001D5645" w:rsidP="003F3728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电话：</w:t>
      </w:r>
      <w:r>
        <w:rPr>
          <w:rFonts w:ascii="Times New Roman" w:eastAsia="方正仿宋_GBK" w:hAnsi="Times New Roman" w:cs="Times New Roman"/>
          <w:sz w:val="28"/>
          <w:szCs w:val="28"/>
        </w:rPr>
        <w:t>025-84723697</w:t>
      </w:r>
      <w:r>
        <w:rPr>
          <w:rFonts w:ascii="Times New Roman" w:eastAsia="方正仿宋_GBK" w:hAnsi="Times New Roman" w:cs="Times New Roman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sz w:val="28"/>
          <w:szCs w:val="28"/>
        </w:rPr>
        <w:t>13913993780</w:t>
      </w:r>
      <w:r>
        <w:rPr>
          <w:rFonts w:ascii="Times New Roman" w:eastAsia="方正仿宋_GBK" w:hAnsi="Times New Roman" w:cs="Times New Roman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sz w:val="28"/>
          <w:szCs w:val="28"/>
        </w:rPr>
        <w:t>18052096076</w:t>
      </w:r>
      <w:r>
        <w:rPr>
          <w:rFonts w:ascii="Times New Roman" w:eastAsia="方正仿宋_GBK" w:hAnsi="Times New Roman" w:cs="Times New Roman"/>
          <w:sz w:val="28"/>
          <w:szCs w:val="28"/>
        </w:rPr>
        <w:t>。</w:t>
      </w:r>
    </w:p>
    <w:p w14:paraId="67CE77CC" w14:textId="77777777" w:rsidR="00BC2641" w:rsidRDefault="00BC2641">
      <w:pPr>
        <w:spacing w:line="48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14:paraId="6AA3BB3D" w14:textId="77777777" w:rsidR="00BC2641" w:rsidRDefault="00BC2641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jc w:val="left"/>
        <w:textAlignment w:val="baseline"/>
        <w:rPr>
          <w:rFonts w:ascii="方正仿宋_GBK" w:eastAsia="方正仿宋_GBK" w:hAnsi="方正仿宋_GBK" w:cs="方正仿宋_GBK"/>
          <w:color w:val="000000"/>
          <w:spacing w:val="-5"/>
          <w:kern w:val="0"/>
          <w:sz w:val="24"/>
          <w:lang w:bidi="ar"/>
        </w:rPr>
      </w:pPr>
    </w:p>
    <w:sectPr w:rsidR="00BC2641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53B6A6A-844D-4F40-8E77-682E6243639D}"/>
    <w:embedBold r:id="rId2" w:subsetted="1" w:fontKey="{A090736C-A2BA-4AA9-800E-BCA8B228C77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C93D3A2-B45E-4B95-82B5-F998038719BF}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801BF909-6BCD-4CE5-BCCE-7F81ED33EEF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D5645"/>
    <w:rsid w:val="003F3728"/>
    <w:rsid w:val="005D029D"/>
    <w:rsid w:val="00AF7C9F"/>
    <w:rsid w:val="00B961F3"/>
    <w:rsid w:val="00BC2641"/>
    <w:rsid w:val="00E07893"/>
    <w:rsid w:val="03A03330"/>
    <w:rsid w:val="05FF5A87"/>
    <w:rsid w:val="07E53ED3"/>
    <w:rsid w:val="0D58259B"/>
    <w:rsid w:val="183710C7"/>
    <w:rsid w:val="215B3DD2"/>
    <w:rsid w:val="23B1211E"/>
    <w:rsid w:val="243F2395"/>
    <w:rsid w:val="2C001EB7"/>
    <w:rsid w:val="2EB30BAD"/>
    <w:rsid w:val="2F3960B7"/>
    <w:rsid w:val="323971F4"/>
    <w:rsid w:val="36425693"/>
    <w:rsid w:val="3811166E"/>
    <w:rsid w:val="403B067A"/>
    <w:rsid w:val="438F7953"/>
    <w:rsid w:val="4FED4D59"/>
    <w:rsid w:val="51200263"/>
    <w:rsid w:val="51E15686"/>
    <w:rsid w:val="53060D62"/>
    <w:rsid w:val="53F254B5"/>
    <w:rsid w:val="54D44C3B"/>
    <w:rsid w:val="55756783"/>
    <w:rsid w:val="623F3F7E"/>
    <w:rsid w:val="69714D56"/>
    <w:rsid w:val="6D677B70"/>
    <w:rsid w:val="70B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家国吉祥</dc:creator>
  <cp:lastModifiedBy>Administrator</cp:lastModifiedBy>
  <cp:revision>7</cp:revision>
  <dcterms:created xsi:type="dcterms:W3CDTF">2025-03-03T14:56:00Z</dcterms:created>
  <dcterms:modified xsi:type="dcterms:W3CDTF">2025-10-20T08:08:00Z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D534FC0E7B73401997149ED218F55DE2_13</vt:lpwstr>
  </property>
  <property fmtid="{D5CDD505-2E9C-101B-9397-08002B2CF9AE}" pid="4" name="KSOTemplateDocerSaveRecord">
    <vt:lpwstr>eyJoZGlkIjoiODA3ZmI4NDJiYzMzNzYzZWI5NGM3NDRmN2YwZWQ5YjMiLCJ1c2VySWQiOiIxMzQ1NTcyNjAyIn0=</vt:lpwstr>
  </property>
</Properties>
</file>